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6908177E"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E93B46" w:rsidRPr="00E93B46">
        <w:rPr>
          <w:rFonts w:ascii="Arial" w:hAnsi="Arial" w:cs="Arial"/>
          <w:b/>
          <w:sz w:val="24"/>
          <w:lang w:val="en-US"/>
        </w:rPr>
        <w:t>R5-204192</w:t>
      </w:r>
      <w:r w:rsidR="00353FAE">
        <w:rPr>
          <w:rFonts w:ascii="Arial" w:hAnsi="Arial" w:cs="Arial"/>
          <w:b/>
          <w:sz w:val="24"/>
          <w:lang w:val="en-US"/>
        </w:rPr>
        <w:br/>
      </w:r>
      <w:bookmarkEnd w:id="0"/>
      <w:r w:rsidR="001B28D7" w:rsidRPr="001B28D7">
        <w:rPr>
          <w:rFonts w:ascii="Arial" w:hAnsi="Arial" w:cs="Arial"/>
          <w:b/>
          <w:sz w:val="24"/>
        </w:rPr>
        <w:t xml:space="preserve">Electronic </w:t>
      </w:r>
      <w:proofErr w:type="gramStart"/>
      <w:r w:rsidR="001B28D7" w:rsidRPr="001B28D7">
        <w:rPr>
          <w:rFonts w:ascii="Arial" w:hAnsi="Arial" w:cs="Arial"/>
          <w:b/>
          <w:sz w:val="24"/>
        </w:rPr>
        <w:t>meeting,  17</w:t>
      </w:r>
      <w:proofErr w:type="gramEnd"/>
      <w:r w:rsidR="001B28D7" w:rsidRPr="001B28D7">
        <w:rPr>
          <w:rFonts w:ascii="Arial" w:hAnsi="Arial" w:cs="Arial"/>
          <w:b/>
          <w:sz w:val="24"/>
        </w:rPr>
        <w:t xml:space="preserve"> August - 28 August</w:t>
      </w:r>
    </w:p>
    <w:p w14:paraId="35952387" w14:textId="77777777" w:rsidR="00816C9D" w:rsidRPr="0008103A" w:rsidRDefault="00816C9D" w:rsidP="00816C9D">
      <w:pPr>
        <w:rPr>
          <w:rFonts w:ascii="Arial" w:hAnsi="Arial" w:cs="Arial"/>
          <w:b/>
          <w:sz w:val="24"/>
          <w:szCs w:val="24"/>
        </w:rPr>
      </w:pPr>
    </w:p>
    <w:p w14:paraId="35952388" w14:textId="71A32E1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A30EA" w:rsidRPr="006A30EA">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4420DA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50567A">
        <w:rPr>
          <w:rFonts w:ascii="Arial" w:hAnsi="Arial" w:cs="Arial"/>
          <w:sz w:val="24"/>
          <w:szCs w:val="24"/>
        </w:rPr>
        <w:t>QoQZ Verification Clarification</w:t>
      </w:r>
      <w:r w:rsidR="00861C5F">
        <w:rPr>
          <w:rFonts w:ascii="Arial" w:hAnsi="Arial" w:cs="Arial"/>
          <w:b/>
          <w:sz w:val="24"/>
          <w:szCs w:val="24"/>
        </w:rPr>
        <w:t xml:space="preserve"> </w:t>
      </w:r>
      <w:bookmarkEnd w:id="3"/>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628253AD" w:rsidR="000606FD" w:rsidRDefault="0050567A" w:rsidP="000606FD">
      <w:pPr>
        <w:ind w:left="48"/>
        <w:rPr>
          <w:rFonts w:eastAsia="Batang"/>
        </w:rPr>
      </w:pPr>
      <w:r>
        <w:rPr>
          <w:rFonts w:eastAsia="Batang"/>
        </w:rPr>
        <w:t xml:space="preserve">The Quality of Quiet Zone (QoQZ) procedure has been defined initially in </w:t>
      </w:r>
      <w:r>
        <w:rPr>
          <w:rFonts w:eastAsia="Batang"/>
        </w:rPr>
        <w:fldChar w:fldCharType="begin"/>
      </w:r>
      <w:r>
        <w:rPr>
          <w:rFonts w:eastAsia="Batang"/>
        </w:rPr>
        <w:instrText xml:space="preserve"> REF _Ref45706404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and was later incorporated in </w:t>
      </w:r>
      <w:r>
        <w:rPr>
          <w:rFonts w:eastAsia="Batang"/>
        </w:rPr>
        <w:fldChar w:fldCharType="begin"/>
      </w:r>
      <w:r>
        <w:rPr>
          <w:rFonts w:eastAsia="Batang"/>
        </w:rPr>
        <w:instrText xml:space="preserve"> REF _Ref45706417 \r \h </w:instrText>
      </w:r>
      <w:r>
        <w:rPr>
          <w:rFonts w:eastAsia="Batang"/>
        </w:rPr>
      </w:r>
      <w:r>
        <w:rPr>
          <w:rFonts w:eastAsia="Batang"/>
        </w:rPr>
        <w:fldChar w:fldCharType="separate"/>
      </w:r>
      <w:r>
        <w:rPr>
          <w:rFonts w:eastAsia="Batang"/>
        </w:rPr>
        <w:t>[2]</w:t>
      </w:r>
      <w:r>
        <w:rPr>
          <w:rFonts w:eastAsia="Batang"/>
        </w:rPr>
        <w:fldChar w:fldCharType="end"/>
      </w:r>
      <w:r>
        <w:rPr>
          <w:rFonts w:eastAsia="Batang"/>
        </w:rPr>
        <w:t>. After further review of the procedure</w:t>
      </w:r>
      <w:r w:rsidR="00640712">
        <w:rPr>
          <w:rFonts w:eastAsia="Batang"/>
        </w:rPr>
        <w:t>,</w:t>
      </w:r>
      <w:r>
        <w:rPr>
          <w:rFonts w:eastAsia="Batang"/>
        </w:rPr>
        <w:t xml:space="preserve"> additional clarifications are needed. </w:t>
      </w:r>
    </w:p>
    <w:p w14:paraId="3595238E" w14:textId="77777777" w:rsidR="0053435C" w:rsidRDefault="00AF0F4C" w:rsidP="0053435C">
      <w:pPr>
        <w:pStyle w:val="Heading1"/>
        <w:ind w:left="567" w:hanging="567"/>
      </w:pPr>
      <w:r>
        <w:t>Discussion</w:t>
      </w:r>
    </w:p>
    <w:p w14:paraId="3595238F" w14:textId="602FD80C" w:rsidR="00E03F11" w:rsidRDefault="00836F3D" w:rsidP="00E03F11">
      <w:r>
        <w:t xml:space="preserve">In </w:t>
      </w:r>
      <w:r>
        <w:fldChar w:fldCharType="begin"/>
      </w:r>
      <w:r>
        <w:instrText xml:space="preserve"> REF _Ref45706417 \r \h </w:instrText>
      </w:r>
      <w:r>
        <w:fldChar w:fldCharType="separate"/>
      </w:r>
      <w:r>
        <w:t>[2]</w:t>
      </w:r>
      <w:r>
        <w:fldChar w:fldCharType="end"/>
      </w:r>
      <w:r>
        <w:t>, it is stated that a range of angles</w:t>
      </w:r>
      <w:r w:rsidR="00611687">
        <w:t xml:space="preserve"> for the QoQZ validation</w:t>
      </w:r>
      <w:r>
        <w:t xml:space="preserve"> can be skipped if the re-positioning approach is considered</w:t>
      </w:r>
      <w:r w:rsidR="00611687">
        <w:t xml:space="preserve"> for the in-band/OOB procedure</w:t>
      </w:r>
      <w:r w:rsidR="00640712">
        <w:t>, e.g., for combined-axes systems</w:t>
      </w:r>
    </w:p>
    <w:p w14:paraId="48F4BAEA" w14:textId="0CBBA850" w:rsidR="00836F3D" w:rsidRPr="00E03F11" w:rsidRDefault="00836F3D" w:rsidP="00836F3D">
      <w:pPr>
        <w:pBdr>
          <w:top w:val="single" w:sz="4" w:space="1" w:color="auto"/>
          <w:left w:val="single" w:sz="4" w:space="4" w:color="auto"/>
          <w:bottom w:val="single" w:sz="4" w:space="1" w:color="auto"/>
          <w:right w:val="single" w:sz="4" w:space="4" w:color="auto"/>
        </w:pBdr>
      </w:pPr>
      <w:r>
        <w:t xml:space="preserve">If the device re-positioning approach outlined in Annex N is adopted for all EIRP/EIS/TRP based conformance test cases, the quality of quiet zone analysis is </w:t>
      </w:r>
      <w:proofErr w:type="gramStart"/>
      <w:r>
        <w:t>sufficient</w:t>
      </w:r>
      <w:proofErr w:type="gramEnd"/>
      <w:r>
        <w:t xml:space="preserve"> only for </w:t>
      </w:r>
      <w:r w:rsidRPr="00836F3D">
        <w:rPr>
          <w:rFonts w:ascii="Symbol" w:hAnsi="Symbol"/>
        </w:rPr>
        <w:t></w:t>
      </w:r>
      <w:r>
        <w:t xml:space="preserve"> = 0</w:t>
      </w:r>
      <w:r w:rsidRPr="00836F3D">
        <w:rPr>
          <w:vertAlign w:val="superscript"/>
        </w:rPr>
        <w:t>o</w:t>
      </w:r>
      <w:r>
        <w:t>, 45</w:t>
      </w:r>
      <w:r w:rsidRPr="00836F3D">
        <w:rPr>
          <w:vertAlign w:val="superscript"/>
        </w:rPr>
        <w:t>o</w:t>
      </w:r>
      <w:r>
        <w:t>, 90</w:t>
      </w:r>
      <w:r w:rsidRPr="00836F3D">
        <w:rPr>
          <w:vertAlign w:val="superscript"/>
        </w:rPr>
        <w:t>o</w:t>
      </w:r>
      <w:r>
        <w:t>, 270</w:t>
      </w:r>
      <w:r w:rsidRPr="00836F3D">
        <w:rPr>
          <w:vertAlign w:val="superscript"/>
        </w:rPr>
        <w:t>o</w:t>
      </w:r>
      <w:r>
        <w:t>, and 315</w:t>
      </w:r>
      <w:r w:rsidRPr="00836F3D">
        <w:rPr>
          <w:vertAlign w:val="superscript"/>
        </w:rPr>
        <w:t>o</w:t>
      </w:r>
      <w:r>
        <w:rPr>
          <w:sz w:val="13"/>
          <w:szCs w:val="13"/>
        </w:rPr>
        <w:t>.</w:t>
      </w:r>
    </w:p>
    <w:bookmarkEnd w:id="2"/>
    <w:p w14:paraId="63FE3530" w14:textId="76C812FF" w:rsidR="00611687" w:rsidRDefault="002067F0" w:rsidP="00836F3D">
      <w:r>
        <w:t>a</w:t>
      </w:r>
      <w:r w:rsidR="00611687">
        <w:t>nd for the spurious emissions procedure</w:t>
      </w:r>
    </w:p>
    <w:p w14:paraId="24991659" w14:textId="1FFB239C" w:rsidR="00611687" w:rsidRDefault="00611687" w:rsidP="00611687">
      <w:pPr>
        <w:pBdr>
          <w:top w:val="single" w:sz="4" w:space="1" w:color="auto"/>
          <w:left w:val="single" w:sz="4" w:space="4" w:color="auto"/>
          <w:bottom w:val="single" w:sz="4" w:space="1" w:color="auto"/>
          <w:right w:val="single" w:sz="4" w:space="4" w:color="auto"/>
        </w:pBdr>
      </w:pPr>
      <w:r w:rsidRPr="00C75948">
        <w:t>If the device re-positioning approach is adopted for the spurious emissions test cases, i.e., two hemispheres are measured separately which involves the DUT, while connected to the gNB emulator, to be rotated by 180</w:t>
      </w:r>
      <w:r w:rsidRPr="00C75948">
        <w:rPr>
          <w:vertAlign w:val="superscript"/>
        </w:rPr>
        <w:t>o</w:t>
      </w:r>
      <w:r w:rsidRPr="00C75948">
        <w:t xml:space="preserve"> around its axis halfway through the test, the quality of quiet zone analysis is sufficient only for </w:t>
      </w:r>
      <w:r w:rsidRPr="00C75948">
        <w:rPr>
          <w:rFonts w:ascii="Symbol" w:hAnsi="Symbol"/>
        </w:rPr>
        <w:t></w:t>
      </w:r>
      <w:r w:rsidRPr="00C75948">
        <w:t xml:space="preserve"> = 0</w:t>
      </w:r>
      <w:r w:rsidRPr="00C75948">
        <w:rPr>
          <w:vertAlign w:val="superscript"/>
        </w:rPr>
        <w:t>o</w:t>
      </w:r>
      <w:r w:rsidRPr="00C75948">
        <w:rPr>
          <w:vertAlign w:val="subscript"/>
        </w:rPr>
        <w:t>.</w:t>
      </w:r>
    </w:p>
    <w:p w14:paraId="0F9129B8" w14:textId="5B423C21" w:rsidR="00836F3D" w:rsidRDefault="00836F3D" w:rsidP="00836F3D">
      <w:r>
        <w:t xml:space="preserve">The re-positioning concept is further outlined in </w:t>
      </w:r>
      <w:r w:rsidR="004B543A">
        <w:t>Clause</w:t>
      </w:r>
      <w:r>
        <w:t xml:space="preserve"> N.3.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E75BD" w14:paraId="648FD955" w14:textId="77777777" w:rsidTr="00DE75BD">
        <w:tc>
          <w:tcPr>
            <w:tcW w:w="9631" w:type="dxa"/>
          </w:tcPr>
          <w:p w14:paraId="1FCE3D02" w14:textId="77777777" w:rsidR="00DE75BD" w:rsidRPr="00C75948" w:rsidRDefault="00DE75BD" w:rsidP="00DE75BD">
            <w:pPr>
              <w:pStyle w:val="Heading1"/>
            </w:pPr>
            <w:bookmarkStart w:id="4" w:name="_Toc21026927"/>
            <w:bookmarkStart w:id="5" w:name="_Toc27744225"/>
            <w:bookmarkStart w:id="6" w:name="_Toc36197396"/>
            <w:bookmarkStart w:id="7" w:name="_Toc36198088"/>
            <w:r w:rsidRPr="00C75948">
              <w:t>N.3</w:t>
            </w:r>
            <w:r w:rsidRPr="00C75948">
              <w:tab/>
              <w:t>DUT positioning guidelines</w:t>
            </w:r>
            <w:bookmarkEnd w:id="4"/>
            <w:bookmarkEnd w:id="5"/>
            <w:bookmarkEnd w:id="6"/>
            <w:bookmarkEnd w:id="7"/>
          </w:p>
          <w:p w14:paraId="46073C9C" w14:textId="77777777" w:rsidR="00DE75BD" w:rsidRPr="00C75948" w:rsidRDefault="00DE75BD" w:rsidP="00DE75BD">
            <w:r w:rsidRPr="00C75948">
              <w:t>The centre of the reference coordinate system shall be aligned with the geometric centre of the DUT in order to minimize the offset between antenna arrays integrated at any position of the UE and the centre of the quiet zone.</w:t>
            </w:r>
          </w:p>
          <w:p w14:paraId="1EAD0012" w14:textId="77777777" w:rsidR="00DE75BD" w:rsidRPr="00C75948" w:rsidRDefault="00DE75BD" w:rsidP="00DE75BD">
            <w:r w:rsidRPr="00C75948">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6DE86C62" w14:textId="336E5A09" w:rsidR="00DE75BD" w:rsidRPr="00C75948" w:rsidRDefault="00DE75BD" w:rsidP="00DE75BD">
            <w:pPr>
              <w:pStyle w:val="TH"/>
            </w:pPr>
            <w:r w:rsidRPr="00C75948">
              <w:rPr>
                <w:noProof/>
              </w:rPr>
              <w:lastRenderedPageBreak/>
              <w:drawing>
                <wp:inline distT="0" distB="0" distL="0" distR="0" wp14:anchorId="7D917FDF" wp14:editId="221C5179">
                  <wp:extent cx="4114800" cy="27203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2720340"/>
                          </a:xfrm>
                          <a:prstGeom prst="rect">
                            <a:avLst/>
                          </a:prstGeom>
                          <a:noFill/>
                          <a:ln>
                            <a:noFill/>
                          </a:ln>
                        </pic:spPr>
                      </pic:pic>
                    </a:graphicData>
                  </a:graphic>
                </wp:inline>
              </w:drawing>
            </w:r>
          </w:p>
          <w:p w14:paraId="0892CE23" w14:textId="77777777" w:rsidR="00DE75BD" w:rsidRPr="00C75948" w:rsidRDefault="00DE75BD" w:rsidP="00DE75BD">
            <w:pPr>
              <w:pStyle w:val="TF"/>
            </w:pPr>
            <w:r w:rsidRPr="00C75948">
              <w:t>Figure N.3-1: DUT re-positioning for an example of distributed-axes system</w:t>
            </w:r>
          </w:p>
          <w:p w14:paraId="02FAC2CD" w14:textId="77777777" w:rsidR="00DE75BD" w:rsidRPr="00C75948" w:rsidRDefault="00DE75BD" w:rsidP="00DE75BD"/>
          <w:p w14:paraId="690FDAC8" w14:textId="2F3B0A86" w:rsidR="00DE75BD" w:rsidRPr="00C75948" w:rsidRDefault="00DE75BD" w:rsidP="00DE75BD">
            <w:pPr>
              <w:pStyle w:val="TH"/>
            </w:pPr>
            <w:bookmarkStart w:id="8" w:name="_Ref521493134"/>
            <w:r w:rsidRPr="00C75948">
              <w:rPr>
                <w:noProof/>
              </w:rPr>
              <w:drawing>
                <wp:inline distT="0" distB="0" distL="0" distR="0" wp14:anchorId="51E380BA" wp14:editId="02F940E4">
                  <wp:extent cx="6115050"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362200"/>
                          </a:xfrm>
                          <a:prstGeom prst="rect">
                            <a:avLst/>
                          </a:prstGeom>
                          <a:noFill/>
                          <a:ln>
                            <a:noFill/>
                          </a:ln>
                        </pic:spPr>
                      </pic:pic>
                    </a:graphicData>
                  </a:graphic>
                </wp:inline>
              </w:drawing>
            </w:r>
          </w:p>
          <w:bookmarkEnd w:id="8"/>
          <w:p w14:paraId="20492039" w14:textId="77777777" w:rsidR="00DE75BD" w:rsidRPr="00C75948" w:rsidRDefault="00DE75BD" w:rsidP="00DE75BD">
            <w:pPr>
              <w:pStyle w:val="TF"/>
            </w:pPr>
            <w:r w:rsidRPr="00C75948">
              <w:t>Figure N.3-2: DUT re-positioning for an example of combined-axes system</w:t>
            </w:r>
          </w:p>
          <w:p w14:paraId="3065F4F6" w14:textId="77777777" w:rsidR="00DE75BD" w:rsidRPr="00C75948" w:rsidRDefault="00DE75BD" w:rsidP="00DE75BD"/>
          <w:p w14:paraId="449A0A74" w14:textId="50F01306" w:rsidR="00DE75BD" w:rsidRDefault="00DE75BD" w:rsidP="00DE75BD">
            <w:r w:rsidRPr="00C75948">
              <w:t>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the pedestal is in the measurement path only when measuring the back-hemisphere. No re-positioning during the TRP measurement is required.</w:t>
            </w:r>
          </w:p>
        </w:tc>
      </w:tr>
    </w:tbl>
    <w:p w14:paraId="21076A40" w14:textId="2AA3AC10" w:rsidR="00DE75BD" w:rsidRDefault="00DE75BD" w:rsidP="00836F3D"/>
    <w:p w14:paraId="45C11CA0" w14:textId="41DE37FE" w:rsidR="000640B9" w:rsidRDefault="000640B9" w:rsidP="000640B9">
      <w:pPr>
        <w:pStyle w:val="Caption"/>
      </w:pPr>
      <w:bookmarkStart w:id="9" w:name="_Ref45724073"/>
      <w:bookmarkStart w:id="10" w:name="_Ref47694399"/>
      <w:r>
        <w:t xml:space="preserve">Observation </w:t>
      </w:r>
      <w:r>
        <w:fldChar w:fldCharType="begin"/>
      </w:r>
      <w:r>
        <w:instrText xml:space="preserve"> SEQ Observation \* ARABIC </w:instrText>
      </w:r>
      <w:r>
        <w:fldChar w:fldCharType="separate"/>
      </w:r>
      <w:r>
        <w:rPr>
          <w:noProof/>
        </w:rPr>
        <w:t>1</w:t>
      </w:r>
      <w:r>
        <w:fldChar w:fldCharType="end"/>
      </w:r>
      <w:r>
        <w:t xml:space="preserve">: The re-positioning concept was introduced to introduce lower QoQZ MU for test systems by making sure that the </w:t>
      </w:r>
      <w:r w:rsidR="00370487">
        <w:t xml:space="preserve">path between </w:t>
      </w:r>
      <w:r>
        <w:t xml:space="preserve">DUT </w:t>
      </w:r>
      <w:r w:rsidR="00370487">
        <w:t xml:space="preserve">and measurement probe </w:t>
      </w:r>
      <w:r>
        <w:t>is not obstructed by the pedestal</w:t>
      </w:r>
      <w:bookmarkEnd w:id="9"/>
      <w:r w:rsidR="00F55993">
        <w:t xml:space="preserve"> of the positioner. This approach allows the </w:t>
      </w:r>
      <w:r w:rsidR="00FD19F5">
        <w:t>reference antenna orientations to be limited to a single hemisphere only.</w:t>
      </w:r>
      <w:bookmarkEnd w:id="10"/>
      <w:r w:rsidR="00FD19F5">
        <w:t xml:space="preserve"> </w:t>
      </w:r>
    </w:p>
    <w:p w14:paraId="3A676633" w14:textId="369DC466" w:rsidR="00DE75BD" w:rsidRDefault="00DE75BD" w:rsidP="00836F3D">
      <w:r>
        <w:t xml:space="preserve">Skipping the rotation angles </w:t>
      </w:r>
      <w:r w:rsidRPr="00DE75BD">
        <w:rPr>
          <w:rFonts w:ascii="Symbol" w:hAnsi="Symbol"/>
        </w:rPr>
        <w:t></w:t>
      </w:r>
      <w:r>
        <w:t xml:space="preserve"> of 135</w:t>
      </w:r>
      <w:r w:rsidRPr="00DE75BD">
        <w:rPr>
          <w:vertAlign w:val="superscript"/>
        </w:rPr>
        <w:t>o</w:t>
      </w:r>
      <w:r w:rsidRPr="00DE75BD">
        <w:t xml:space="preserve"> </w:t>
      </w:r>
      <w:r w:rsidR="00FD19F5">
        <w:t>to</w:t>
      </w:r>
      <w:r>
        <w:t xml:space="preserve"> 225</w:t>
      </w:r>
      <w:r w:rsidRPr="00DE75BD">
        <w:rPr>
          <w:vertAlign w:val="superscript"/>
        </w:rPr>
        <w:t>o</w:t>
      </w:r>
      <w:r>
        <w:t xml:space="preserve"> of the reference antenna around the </w:t>
      </w:r>
      <w:r w:rsidRPr="00DE75BD">
        <w:rPr>
          <w:i/>
          <w:iCs/>
        </w:rPr>
        <w:t>y</w:t>
      </w:r>
      <w:r>
        <w:t xml:space="preserve"> axis therefore prevents the reference antenna pattern to be radiated towards </w:t>
      </w:r>
      <w:r w:rsidR="00FD19F5">
        <w:t xml:space="preserve">or at </w:t>
      </w:r>
      <w:r>
        <w:t xml:space="preserve">the pedestal of the positioner/back hemisphere. </w:t>
      </w:r>
    </w:p>
    <w:p w14:paraId="3A1F4F8F" w14:textId="38861FA4" w:rsidR="00063392" w:rsidRDefault="00B4089E" w:rsidP="00836F3D">
      <w:r>
        <w:t>However, w</w:t>
      </w:r>
      <w:r w:rsidR="00DE75BD">
        <w:t xml:space="preserve">hen the re-positioning concept is not applied to the QoQZ measurements and thus the FR2 test cases, the impact of the pedestal needs to be considered in the overall MU assessment of the system. </w:t>
      </w:r>
      <w:r>
        <w:t xml:space="preserve">The original intention was therefore that when the re-positioning concept </w:t>
      </w:r>
      <w:r w:rsidR="002067F0">
        <w:t xml:space="preserve">is </w:t>
      </w:r>
      <w:r>
        <w:t xml:space="preserve">not applied for the in-band/OOB QoQZ procedure, the reference </w:t>
      </w:r>
      <w:r>
        <w:lastRenderedPageBreak/>
        <w:t xml:space="preserve">antenna is pointed towards the pedestal of the positioner </w:t>
      </w:r>
      <w:r w:rsidR="002067F0">
        <w:t>(</w:t>
      </w:r>
      <w:r w:rsidR="002067F0" w:rsidRPr="00DE75BD">
        <w:rPr>
          <w:rFonts w:ascii="Symbol" w:hAnsi="Symbol"/>
        </w:rPr>
        <w:t></w:t>
      </w:r>
      <w:r w:rsidR="002067F0">
        <w:t xml:space="preserve"> =135</w:t>
      </w:r>
      <w:r w:rsidR="002067F0" w:rsidRPr="00DE75BD">
        <w:rPr>
          <w:vertAlign w:val="superscript"/>
        </w:rPr>
        <w:t>o</w:t>
      </w:r>
      <w:r w:rsidR="002067F0" w:rsidRPr="00DE75BD">
        <w:t xml:space="preserve"> </w:t>
      </w:r>
      <w:r w:rsidR="002067F0">
        <w:t>and 225</w:t>
      </w:r>
      <w:r w:rsidR="002067F0" w:rsidRPr="00DE75BD">
        <w:rPr>
          <w:vertAlign w:val="superscript"/>
        </w:rPr>
        <w:t>o</w:t>
      </w:r>
      <w:r w:rsidR="002067F0">
        <w:t xml:space="preserve">) </w:t>
      </w:r>
      <w:r>
        <w:t>and that for the spurious QoQZ</w:t>
      </w:r>
      <w:r w:rsidR="00FD19F5">
        <w:t xml:space="preserve"> procedure</w:t>
      </w:r>
      <w:r>
        <w:t>, the reference antenna is pointed directly at the pedestal of the positioner</w:t>
      </w:r>
      <w:r w:rsidR="002067F0">
        <w:t xml:space="preserve"> (</w:t>
      </w:r>
      <w:r w:rsidR="002067F0" w:rsidRPr="00DE75BD">
        <w:rPr>
          <w:rFonts w:ascii="Symbol" w:hAnsi="Symbol"/>
        </w:rPr>
        <w:t></w:t>
      </w:r>
      <w:r w:rsidR="002067F0">
        <w:t xml:space="preserve"> =180</w:t>
      </w:r>
      <w:r w:rsidR="002067F0" w:rsidRPr="00DE75BD">
        <w:rPr>
          <w:vertAlign w:val="superscript"/>
        </w:rPr>
        <w:t>o</w:t>
      </w:r>
      <w:r w:rsidR="002067F0">
        <w:t>)</w:t>
      </w:r>
      <w:r w:rsidR="00E77EF1">
        <w:t xml:space="preserve">, which has been highlighted accordingly in </w:t>
      </w:r>
      <w:r w:rsidR="00823561">
        <w:fldChar w:fldCharType="begin"/>
      </w:r>
      <w:r w:rsidR="00823561">
        <w:instrText xml:space="preserve"> REF _Ref45722144 \r \h </w:instrText>
      </w:r>
      <w:r w:rsidR="00823561">
        <w:fldChar w:fldCharType="separate"/>
      </w:r>
      <w:r w:rsidR="00823561">
        <w:t>[3]</w:t>
      </w:r>
      <w:r w:rsidR="00823561">
        <w:fldChar w:fldCharType="end"/>
      </w:r>
    </w:p>
    <w:p w14:paraId="6B8CA35F" w14:textId="02AEB9F8" w:rsidR="00E77EF1" w:rsidRDefault="00E77EF1" w:rsidP="00E77EF1">
      <w:pPr>
        <w:pBdr>
          <w:top w:val="single" w:sz="4" w:space="1" w:color="auto"/>
          <w:left w:val="single" w:sz="4" w:space="4" w:color="auto"/>
          <w:bottom w:val="single" w:sz="4" w:space="1" w:color="auto"/>
          <w:right w:val="single" w:sz="4" w:space="4" w:color="auto"/>
        </w:pBdr>
      </w:pPr>
      <w:r w:rsidRPr="00E77EF1">
        <w:rPr>
          <w:noProof/>
        </w:rPr>
        <w:drawing>
          <wp:inline distT="0" distB="0" distL="0" distR="0" wp14:anchorId="042118DE" wp14:editId="04C3B1DB">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02CA0C22" w14:textId="6E32BFDE" w:rsidR="00063392" w:rsidRDefault="00063392" w:rsidP="00063392">
      <w:pPr>
        <w:pStyle w:val="Caption"/>
      </w:pPr>
      <w:bookmarkStart w:id="11" w:name="_Ref45724074"/>
      <w:r>
        <w:t xml:space="preserve">Observation </w:t>
      </w:r>
      <w:r>
        <w:fldChar w:fldCharType="begin"/>
      </w:r>
      <w:r>
        <w:instrText xml:space="preserve"> SEQ Observation \* ARABIC </w:instrText>
      </w:r>
      <w:r>
        <w:fldChar w:fldCharType="separate"/>
      </w:r>
      <w:r w:rsidR="000640B9">
        <w:rPr>
          <w:noProof/>
        </w:rPr>
        <w:t>2</w:t>
      </w:r>
      <w:r>
        <w:fldChar w:fldCharType="end"/>
      </w:r>
      <w:r>
        <w:t xml:space="preserve">: When the re-positioning concept is not applied to FR2 test cases, </w:t>
      </w:r>
      <w:r w:rsidR="00370487">
        <w:t>the intent of</w:t>
      </w:r>
      <w:r>
        <w:t xml:space="preserve"> </w:t>
      </w:r>
      <w:r w:rsidR="00370487">
        <w:t xml:space="preserve">the </w:t>
      </w:r>
      <w:r>
        <w:t>QoQZ validation</w:t>
      </w:r>
      <w:r w:rsidR="00E77EF1">
        <w:t xml:space="preserve"> </w:t>
      </w:r>
      <w:r w:rsidR="00370487">
        <w:t xml:space="preserve">was to include </w:t>
      </w:r>
      <w:r w:rsidR="00E77EF1">
        <w:t xml:space="preserve">reference antenna orientations </w:t>
      </w:r>
      <w:r w:rsidR="00370487">
        <w:t xml:space="preserve">in the measurements that made the reference antenna point </w:t>
      </w:r>
      <w:r w:rsidR="00E77EF1">
        <w:t>towards the pedestal (in-band/OOB) or at the pedestal (spurious emissions).</w:t>
      </w:r>
      <w:bookmarkEnd w:id="11"/>
      <w:r w:rsidR="00E77EF1">
        <w:t xml:space="preserve"> </w:t>
      </w:r>
    </w:p>
    <w:p w14:paraId="4CBFCDE5" w14:textId="7A63F0C7" w:rsidR="00823561" w:rsidRDefault="00063392" w:rsidP="00836F3D">
      <w:r>
        <w:t xml:space="preserve">The intended reference antenna directions with respect to the positioner pedestal (for a combined-axis system) for these cases are outlined in </w:t>
      </w:r>
      <w:r w:rsidR="00823561">
        <w:fldChar w:fldCharType="begin"/>
      </w:r>
      <w:r w:rsidR="00823561">
        <w:instrText xml:space="preserve"> REF _Ref45722171 \h </w:instrText>
      </w:r>
      <w:r w:rsidR="00823561">
        <w:fldChar w:fldCharType="separate"/>
      </w:r>
      <w:r w:rsidR="00823561">
        <w:t xml:space="preserve">Figure </w:t>
      </w:r>
      <w:r w:rsidR="00823561">
        <w:rPr>
          <w:noProof/>
        </w:rPr>
        <w:t>1</w:t>
      </w:r>
      <w:r w:rsidR="00823561">
        <w:fldChar w:fldCharType="end"/>
      </w:r>
      <w:r w:rsidR="00FD19F5">
        <w:t xml:space="preserve"> for an example combined-axes system</w:t>
      </w:r>
      <w:r w:rsidR="00823561">
        <w:t xml:space="preserve">. </w:t>
      </w:r>
    </w:p>
    <w:p w14:paraId="54B05801" w14:textId="183569C4" w:rsidR="00823561" w:rsidRDefault="00823561" w:rsidP="00836F3D">
      <w:r>
        <w:t>Following discussions on the QoQZ procedure, it became clear that some un-intended reference antenna orientations might not have been excluded properly in the</w:t>
      </w:r>
      <w:r w:rsidR="006F297C">
        <w:t xml:space="preserve"> QoQZ</w:t>
      </w:r>
      <w:r>
        <w:t xml:space="preserve"> </w:t>
      </w:r>
      <w:r w:rsidR="00B8738B">
        <w:t xml:space="preserve">validation procedure. For instance, it could be envisioned that the pedestal </w:t>
      </w:r>
      <w:r w:rsidR="00FD19F5">
        <w:t>is</w:t>
      </w:r>
      <w:r w:rsidR="00B8738B">
        <w:t xml:space="preserve"> moved away from the reference antenna pattern when the antenna is positioned to radiated in the backwards direction. Examples of such positioning are illustrated in </w:t>
      </w:r>
      <w:r w:rsidR="00B8738B">
        <w:fldChar w:fldCharType="begin"/>
      </w:r>
      <w:r w:rsidR="00B8738B">
        <w:instrText xml:space="preserve"> REF _Ref45722885 \h </w:instrText>
      </w:r>
      <w:r w:rsidR="00B8738B">
        <w:fldChar w:fldCharType="separate"/>
      </w:r>
      <w:r w:rsidR="00B8738B">
        <w:t xml:space="preserve">Figure </w:t>
      </w:r>
      <w:r w:rsidR="00B8738B">
        <w:rPr>
          <w:noProof/>
        </w:rPr>
        <w:t>2</w:t>
      </w:r>
      <w:r w:rsidR="00B8738B">
        <w:fldChar w:fldCharType="end"/>
      </w:r>
      <w:r w:rsidR="00B8738B">
        <w:t xml:space="preserve">. Clearly, the </w:t>
      </w:r>
      <w:r w:rsidR="00FD19F5">
        <w:t xml:space="preserve">reference </w:t>
      </w:r>
      <w:r w:rsidR="00B8738B">
        <w:t xml:space="preserve">antenna orientations (rotations </w:t>
      </w:r>
      <w:r w:rsidR="00B8738B" w:rsidRPr="00B8738B">
        <w:rPr>
          <w:rFonts w:ascii="Symbol" w:hAnsi="Symbol"/>
        </w:rPr>
        <w:t></w:t>
      </w:r>
      <w:r w:rsidR="00B8738B">
        <w:t xml:space="preserve"> around the </w:t>
      </w:r>
      <w:r w:rsidR="00B8738B" w:rsidRPr="00B8738B">
        <w:rPr>
          <w:i/>
          <w:iCs/>
        </w:rPr>
        <w:t>y</w:t>
      </w:r>
      <w:r w:rsidR="00B8738B">
        <w:t xml:space="preserve"> axis) match those in </w:t>
      </w:r>
      <w:r w:rsidR="00B8738B">
        <w:fldChar w:fldCharType="begin"/>
      </w:r>
      <w:r w:rsidR="00B8738B">
        <w:instrText xml:space="preserve"> REF _Ref45722171 \h </w:instrText>
      </w:r>
      <w:r w:rsidR="00B8738B">
        <w:fldChar w:fldCharType="separate"/>
      </w:r>
      <w:r w:rsidR="00B8738B">
        <w:t xml:space="preserve">Figure </w:t>
      </w:r>
      <w:r w:rsidR="00B8738B">
        <w:rPr>
          <w:noProof/>
        </w:rPr>
        <w:t>1</w:t>
      </w:r>
      <w:r w:rsidR="00B8738B">
        <w:fldChar w:fldCharType="end"/>
      </w:r>
      <w:r w:rsidR="00B8738B">
        <w:t xml:space="preserve"> with the difference that the reference antenna is pointing its radiation pattern towards or at the positioner pedestal in </w:t>
      </w:r>
      <w:r w:rsidR="00B8738B">
        <w:fldChar w:fldCharType="begin"/>
      </w:r>
      <w:r w:rsidR="00B8738B">
        <w:instrText xml:space="preserve"> REF _Ref45722171 \h </w:instrText>
      </w:r>
      <w:r w:rsidR="00B8738B">
        <w:fldChar w:fldCharType="separate"/>
      </w:r>
      <w:r w:rsidR="00B8738B">
        <w:t xml:space="preserve">Figure </w:t>
      </w:r>
      <w:r w:rsidR="00B8738B">
        <w:rPr>
          <w:noProof/>
        </w:rPr>
        <w:t>1</w:t>
      </w:r>
      <w:r w:rsidR="00B8738B">
        <w:fldChar w:fldCharType="end"/>
      </w:r>
      <w:r w:rsidR="00B8738B">
        <w:t xml:space="preserve"> while the pedestal in </w:t>
      </w:r>
      <w:r w:rsidR="00B8738B">
        <w:fldChar w:fldCharType="begin"/>
      </w:r>
      <w:r w:rsidR="00B8738B">
        <w:instrText xml:space="preserve"> REF _Ref45722885 \h </w:instrText>
      </w:r>
      <w:r w:rsidR="00B8738B">
        <w:fldChar w:fldCharType="separate"/>
      </w:r>
      <w:r w:rsidR="00B8738B">
        <w:t xml:space="preserve">Figure </w:t>
      </w:r>
      <w:r w:rsidR="00B8738B">
        <w:rPr>
          <w:noProof/>
        </w:rPr>
        <w:t>2</w:t>
      </w:r>
      <w:r w:rsidR="00B8738B">
        <w:fldChar w:fldCharType="end"/>
      </w:r>
      <w:r w:rsidR="00B8738B">
        <w:t xml:space="preserve"> has been completely moved away from the radiation pattern of the reference antenna. This approach to evaluate the QoQZ of the system is clearly not representative of the conditions the DUT experiences</w:t>
      </w:r>
      <w:r w:rsidR="000640B9">
        <w:t>, i.e., this approach completely underestimate</w:t>
      </w:r>
      <w:r w:rsidR="00FD19F5">
        <w:t>s</w:t>
      </w:r>
      <w:r w:rsidR="000640B9">
        <w:t xml:space="preserve"> the measurement uncertainty. </w:t>
      </w:r>
    </w:p>
    <w:p w14:paraId="41E47167" w14:textId="7A01E1EC" w:rsidR="000640B9" w:rsidRDefault="000640B9" w:rsidP="00836F3D">
      <w:r>
        <w:t xml:space="preserve">It is therefore proposed to clarify in the QoQZ procedures that the positioner coordinates/orientations </w:t>
      </w:r>
      <w:r w:rsidR="00EF7E7B">
        <w:t xml:space="preserve">with respect to the reference probe (P0 for RRM, reflector for CATR) </w:t>
      </w:r>
      <w:r>
        <w:t xml:space="preserve">shall remain </w:t>
      </w:r>
      <w:r w:rsidR="00EF7E7B">
        <w:t xml:space="preserve">the same for each reference antenna orientation. </w:t>
      </w:r>
    </w:p>
    <w:p w14:paraId="4160A73D" w14:textId="2800C14D" w:rsidR="00EF7E7B" w:rsidRDefault="00EF7E7B" w:rsidP="00EF7E7B">
      <w:pPr>
        <w:pStyle w:val="Caption"/>
      </w:pPr>
      <w:bookmarkStart w:id="12" w:name="_Ref45724075"/>
      <w:r>
        <w:t xml:space="preserve">Proposal </w:t>
      </w:r>
      <w:r>
        <w:fldChar w:fldCharType="begin"/>
      </w:r>
      <w:r>
        <w:instrText xml:space="preserve"> SEQ Proposal \* ARABIC </w:instrText>
      </w:r>
      <w:r>
        <w:fldChar w:fldCharType="separate"/>
      </w:r>
      <w:r>
        <w:rPr>
          <w:noProof/>
        </w:rPr>
        <w:t>1</w:t>
      </w:r>
      <w:r>
        <w:fldChar w:fldCharType="end"/>
      </w:r>
      <w:r>
        <w:t>: Clarify in the QoQZ validation procedures that the positioner coordinates/orientations with respect to the reference probe (P0 for RRM, reflector for CATR) shall remain the same for each reference antenna orientation.</w:t>
      </w:r>
      <w:bookmarkEnd w:id="12"/>
    </w:p>
    <w:p w14:paraId="6B3FB63F" w14:textId="2C7B32C8" w:rsidR="00823561" w:rsidRDefault="006F297C">
      <w:pPr>
        <w:spacing w:after="0"/>
      </w:pPr>
      <w:r>
        <w:t xml:space="preserve">A CR has been prepared accordingly in </w:t>
      </w:r>
      <w:r w:rsidR="003525B1">
        <w:fldChar w:fldCharType="begin"/>
      </w:r>
      <w:r w:rsidR="003525B1">
        <w:instrText xml:space="preserve"> REF _Ref47446305 \r \h </w:instrText>
      </w:r>
      <w:r w:rsidR="003525B1">
        <w:fldChar w:fldCharType="separate"/>
      </w:r>
      <w:r w:rsidR="003525B1">
        <w:t>[4]</w:t>
      </w:r>
      <w:r w:rsidR="003525B1">
        <w:fldChar w:fldCharType="end"/>
      </w:r>
      <w:r>
        <w:t xml:space="preserve">. </w:t>
      </w:r>
      <w:r w:rsidR="00823561">
        <w:br w:type="page"/>
      </w:r>
    </w:p>
    <w:p w14:paraId="1154A723" w14:textId="49A65793" w:rsidR="00063392" w:rsidRDefault="00063392" w:rsidP="00063392">
      <w:pPr>
        <w:pStyle w:val="Caption"/>
        <w:jc w:val="center"/>
      </w:pPr>
      <w:r w:rsidRPr="00063392">
        <w:rPr>
          <w:noProof/>
        </w:rPr>
        <w:lastRenderedPageBreak/>
        <w:drawing>
          <wp:inline distT="0" distB="0" distL="0" distR="0" wp14:anchorId="378512D2" wp14:editId="0224383C">
            <wp:extent cx="2613660" cy="2537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41368"/>
                    <a:stretch/>
                  </pic:blipFill>
                  <pic:spPr bwMode="auto">
                    <a:xfrm>
                      <a:off x="0" y="0"/>
                      <a:ext cx="2613660" cy="2537460"/>
                    </a:xfrm>
                    <a:prstGeom prst="rect">
                      <a:avLst/>
                    </a:prstGeom>
                    <a:noFill/>
                    <a:ln>
                      <a:noFill/>
                    </a:ln>
                    <a:extLst>
                      <a:ext uri="{53640926-AAD7-44D8-BBD7-CCE9431645EC}">
                        <a14:shadowObscured xmlns:a14="http://schemas.microsoft.com/office/drawing/2010/main"/>
                      </a:ext>
                    </a:extLst>
                  </pic:spPr>
                </pic:pic>
              </a:graphicData>
            </a:graphic>
          </wp:inline>
        </w:drawing>
      </w:r>
      <w:r w:rsidRPr="00063392">
        <w:rPr>
          <w:noProof/>
        </w:rPr>
        <w:drawing>
          <wp:inline distT="0" distB="0" distL="0" distR="0" wp14:anchorId="39C364EB" wp14:editId="12DCA6E3">
            <wp:extent cx="1828800" cy="243387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41136"/>
                    <a:stretch/>
                  </pic:blipFill>
                  <pic:spPr bwMode="auto">
                    <a:xfrm>
                      <a:off x="0" y="0"/>
                      <a:ext cx="1828800" cy="2433878"/>
                    </a:xfrm>
                    <a:prstGeom prst="rect">
                      <a:avLst/>
                    </a:prstGeom>
                    <a:noFill/>
                    <a:ln>
                      <a:noFill/>
                    </a:ln>
                    <a:extLst>
                      <a:ext uri="{53640926-AAD7-44D8-BBD7-CCE9431645EC}">
                        <a14:shadowObscured xmlns:a14="http://schemas.microsoft.com/office/drawing/2010/main"/>
                      </a:ext>
                    </a:extLst>
                  </pic:spPr>
                </pic:pic>
              </a:graphicData>
            </a:graphic>
          </wp:inline>
        </w:drawing>
      </w:r>
    </w:p>
    <w:p w14:paraId="0D7A902D" w14:textId="55101A16" w:rsidR="00063392" w:rsidRDefault="00063392" w:rsidP="00063392">
      <w:pPr>
        <w:jc w:val="center"/>
      </w:pPr>
      <w:r w:rsidRPr="00063392">
        <w:rPr>
          <w:noProof/>
        </w:rPr>
        <w:drawing>
          <wp:inline distT="0" distB="0" distL="0" distR="0" wp14:anchorId="35640784" wp14:editId="1F735B47">
            <wp:extent cx="2613660" cy="25374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41368"/>
                    <a:stretch/>
                  </pic:blipFill>
                  <pic:spPr bwMode="auto">
                    <a:xfrm>
                      <a:off x="0" y="0"/>
                      <a:ext cx="2613660" cy="2537460"/>
                    </a:xfrm>
                    <a:prstGeom prst="rect">
                      <a:avLst/>
                    </a:prstGeom>
                    <a:noFill/>
                    <a:ln>
                      <a:noFill/>
                    </a:ln>
                    <a:extLst>
                      <a:ext uri="{53640926-AAD7-44D8-BBD7-CCE9431645EC}">
                        <a14:shadowObscured xmlns:a14="http://schemas.microsoft.com/office/drawing/2010/main"/>
                      </a:ext>
                    </a:extLst>
                  </pic:spPr>
                </pic:pic>
              </a:graphicData>
            </a:graphic>
          </wp:inline>
        </w:drawing>
      </w:r>
      <w:r w:rsidRPr="00063392">
        <w:rPr>
          <w:noProof/>
        </w:rPr>
        <w:drawing>
          <wp:inline distT="0" distB="0" distL="0" distR="0" wp14:anchorId="59813362" wp14:editId="764BC5D7">
            <wp:extent cx="1828800" cy="2446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41425"/>
                    <a:stretch/>
                  </pic:blipFill>
                  <pic:spPr bwMode="auto">
                    <a:xfrm>
                      <a:off x="0" y="0"/>
                      <a:ext cx="1828800" cy="2446638"/>
                    </a:xfrm>
                    <a:prstGeom prst="rect">
                      <a:avLst/>
                    </a:prstGeom>
                    <a:noFill/>
                    <a:ln>
                      <a:noFill/>
                    </a:ln>
                    <a:extLst>
                      <a:ext uri="{53640926-AAD7-44D8-BBD7-CCE9431645EC}">
                        <a14:shadowObscured xmlns:a14="http://schemas.microsoft.com/office/drawing/2010/main"/>
                      </a:ext>
                    </a:extLst>
                  </pic:spPr>
                </pic:pic>
              </a:graphicData>
            </a:graphic>
          </wp:inline>
        </w:drawing>
      </w:r>
    </w:p>
    <w:p w14:paraId="65C590C9" w14:textId="474E81DE" w:rsidR="00063392" w:rsidRDefault="00063392" w:rsidP="00063392">
      <w:pPr>
        <w:jc w:val="center"/>
      </w:pPr>
      <w:r w:rsidRPr="00063392">
        <w:rPr>
          <w:noProof/>
        </w:rPr>
        <w:drawing>
          <wp:inline distT="0" distB="0" distL="0" distR="0" wp14:anchorId="59F1DAFD" wp14:editId="02409297">
            <wp:extent cx="2609850" cy="2537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41453"/>
                    <a:stretch/>
                  </pic:blipFill>
                  <pic:spPr bwMode="auto">
                    <a:xfrm>
                      <a:off x="0" y="0"/>
                      <a:ext cx="2609850" cy="2537460"/>
                    </a:xfrm>
                    <a:prstGeom prst="rect">
                      <a:avLst/>
                    </a:prstGeom>
                    <a:noFill/>
                    <a:ln>
                      <a:noFill/>
                    </a:ln>
                    <a:extLst>
                      <a:ext uri="{53640926-AAD7-44D8-BBD7-CCE9431645EC}">
                        <a14:shadowObscured xmlns:a14="http://schemas.microsoft.com/office/drawing/2010/main"/>
                      </a:ext>
                    </a:extLst>
                  </pic:spPr>
                </pic:pic>
              </a:graphicData>
            </a:graphic>
          </wp:inline>
        </w:drawing>
      </w:r>
      <w:r w:rsidRPr="00063392">
        <w:rPr>
          <w:noProof/>
        </w:rPr>
        <w:drawing>
          <wp:inline distT="0" distB="0" distL="0" distR="0" wp14:anchorId="2E6B11A0" wp14:editId="56AF39CA">
            <wp:extent cx="1828800" cy="24429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41337"/>
                    <a:stretch/>
                  </pic:blipFill>
                  <pic:spPr bwMode="auto">
                    <a:xfrm>
                      <a:off x="0" y="0"/>
                      <a:ext cx="1828800" cy="2442970"/>
                    </a:xfrm>
                    <a:prstGeom prst="rect">
                      <a:avLst/>
                    </a:prstGeom>
                    <a:noFill/>
                    <a:ln>
                      <a:noFill/>
                    </a:ln>
                    <a:extLst>
                      <a:ext uri="{53640926-AAD7-44D8-BBD7-CCE9431645EC}">
                        <a14:shadowObscured xmlns:a14="http://schemas.microsoft.com/office/drawing/2010/main"/>
                      </a:ext>
                    </a:extLst>
                  </pic:spPr>
                </pic:pic>
              </a:graphicData>
            </a:graphic>
          </wp:inline>
        </w:drawing>
      </w:r>
    </w:p>
    <w:p w14:paraId="3486B9C1" w14:textId="125F993A" w:rsidR="00823561" w:rsidRDefault="00063392" w:rsidP="00063392">
      <w:pPr>
        <w:pStyle w:val="Caption"/>
      </w:pPr>
      <w:bookmarkStart w:id="13" w:name="_Ref45722171"/>
      <w:r>
        <w:t xml:space="preserve">Figure </w:t>
      </w:r>
      <w:r>
        <w:fldChar w:fldCharType="begin"/>
      </w:r>
      <w:r>
        <w:instrText xml:space="preserve"> SEQ Figure \* ARABIC </w:instrText>
      </w:r>
      <w:r>
        <w:fldChar w:fldCharType="separate"/>
      </w:r>
      <w:r>
        <w:rPr>
          <w:noProof/>
        </w:rPr>
        <w:t>1</w:t>
      </w:r>
      <w:r>
        <w:fldChar w:fldCharType="end"/>
      </w:r>
      <w:bookmarkEnd w:id="13"/>
      <w:r>
        <w:t>: Intended Reference Antenna Orientations for QoQZ Validation Testing with respect to Combined-Axes Positioner (</w:t>
      </w:r>
      <w:proofErr w:type="gramStart"/>
      <w:r>
        <w:t>left:</w:t>
      </w:r>
      <w:proofErr w:type="gramEnd"/>
      <w:r>
        <w:t xml:space="preserve"> top view; right: side view). On top: </w:t>
      </w:r>
      <w:r w:rsidRPr="00DE75BD">
        <w:rPr>
          <w:rFonts w:ascii="Symbol" w:hAnsi="Symbol"/>
        </w:rPr>
        <w:t></w:t>
      </w:r>
      <w:r>
        <w:t xml:space="preserve"> =135</w:t>
      </w:r>
      <w:r w:rsidRPr="00DE75BD">
        <w:rPr>
          <w:vertAlign w:val="superscript"/>
        </w:rPr>
        <w:t>o</w:t>
      </w:r>
      <w:r w:rsidRPr="00DE75BD">
        <w:t xml:space="preserve"> </w:t>
      </w:r>
      <w:r>
        <w:t xml:space="preserve">(In-band/OOB QoQZ), centre: </w:t>
      </w:r>
      <w:r w:rsidRPr="00DE75BD">
        <w:rPr>
          <w:rFonts w:ascii="Symbol" w:hAnsi="Symbol"/>
        </w:rPr>
        <w:t></w:t>
      </w:r>
      <w:r>
        <w:t xml:space="preserve"> =180</w:t>
      </w:r>
      <w:r w:rsidRPr="00DE75BD">
        <w:rPr>
          <w:vertAlign w:val="superscript"/>
        </w:rPr>
        <w:t>o</w:t>
      </w:r>
      <w:r w:rsidRPr="00DE75BD">
        <w:t xml:space="preserve"> </w:t>
      </w:r>
      <w:r>
        <w:t>(spurious QoQZ),</w:t>
      </w:r>
      <w:r w:rsidRPr="00063392">
        <w:rPr>
          <w:rFonts w:ascii="Symbol" w:hAnsi="Symbol"/>
        </w:rPr>
        <w:t></w:t>
      </w:r>
      <w:r>
        <w:t xml:space="preserve">bottom: </w:t>
      </w:r>
      <w:r w:rsidRPr="00DE75BD">
        <w:rPr>
          <w:rFonts w:ascii="Symbol" w:hAnsi="Symbol"/>
        </w:rPr>
        <w:t></w:t>
      </w:r>
      <w:r>
        <w:t xml:space="preserve"> =225</w:t>
      </w:r>
      <w:r w:rsidRPr="00DE75BD">
        <w:rPr>
          <w:vertAlign w:val="superscript"/>
        </w:rPr>
        <w:t>o</w:t>
      </w:r>
      <w:r w:rsidRPr="00DE75BD">
        <w:t xml:space="preserve"> </w:t>
      </w:r>
      <w:r>
        <w:t>(In-band/OOB QoQZ).</w:t>
      </w:r>
    </w:p>
    <w:p w14:paraId="78861378" w14:textId="77777777" w:rsidR="00823561" w:rsidRDefault="00823561">
      <w:pPr>
        <w:spacing w:after="0"/>
        <w:rPr>
          <w:b/>
        </w:rPr>
      </w:pPr>
      <w:r>
        <w:br w:type="page"/>
      </w:r>
    </w:p>
    <w:p w14:paraId="52A494A4" w14:textId="2CABBE2F" w:rsidR="00823561" w:rsidRDefault="00823561" w:rsidP="000640B9">
      <w:pPr>
        <w:pStyle w:val="Caption"/>
        <w:jc w:val="center"/>
      </w:pPr>
      <w:r w:rsidRPr="00823561">
        <w:rPr>
          <w:noProof/>
        </w:rPr>
        <w:lastRenderedPageBreak/>
        <w:drawing>
          <wp:inline distT="0" distB="0" distL="0" distR="0" wp14:anchorId="0408E697" wp14:editId="0F14B946">
            <wp:extent cx="2606040" cy="2625090"/>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 r="41538" b="-3454"/>
                    <a:stretch/>
                  </pic:blipFill>
                  <pic:spPr bwMode="auto">
                    <a:xfrm>
                      <a:off x="0" y="0"/>
                      <a:ext cx="2606040" cy="2625090"/>
                    </a:xfrm>
                    <a:prstGeom prst="rect">
                      <a:avLst/>
                    </a:prstGeom>
                    <a:noFill/>
                    <a:ln>
                      <a:noFill/>
                    </a:ln>
                    <a:extLst>
                      <a:ext uri="{53640926-AAD7-44D8-BBD7-CCE9431645EC}">
                        <a14:shadowObscured xmlns:a14="http://schemas.microsoft.com/office/drawing/2010/main"/>
                      </a:ext>
                    </a:extLst>
                  </pic:spPr>
                </pic:pic>
              </a:graphicData>
            </a:graphic>
          </wp:inline>
        </w:drawing>
      </w:r>
      <w:r w:rsidRPr="00823561">
        <w:rPr>
          <w:noProof/>
        </w:rPr>
        <w:drawing>
          <wp:inline distT="0" distB="0" distL="0" distR="0" wp14:anchorId="7FE5559B" wp14:editId="2FEE2F06">
            <wp:extent cx="1828800" cy="2448453"/>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41337"/>
                    <a:stretch/>
                  </pic:blipFill>
                  <pic:spPr bwMode="auto">
                    <a:xfrm>
                      <a:off x="0" y="0"/>
                      <a:ext cx="1828800" cy="2448453"/>
                    </a:xfrm>
                    <a:prstGeom prst="rect">
                      <a:avLst/>
                    </a:prstGeom>
                    <a:noFill/>
                    <a:ln>
                      <a:noFill/>
                    </a:ln>
                    <a:extLst>
                      <a:ext uri="{53640926-AAD7-44D8-BBD7-CCE9431645EC}">
                        <a14:shadowObscured xmlns:a14="http://schemas.microsoft.com/office/drawing/2010/main"/>
                      </a:ext>
                    </a:extLst>
                  </pic:spPr>
                </pic:pic>
              </a:graphicData>
            </a:graphic>
          </wp:inline>
        </w:drawing>
      </w:r>
      <w:r w:rsidRPr="00823561">
        <w:rPr>
          <w:noProof/>
        </w:rPr>
        <w:drawing>
          <wp:inline distT="0" distB="0" distL="0" distR="0" wp14:anchorId="53ABD46F" wp14:editId="02018B7B">
            <wp:extent cx="2609850" cy="25374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r="41453"/>
                    <a:stretch/>
                  </pic:blipFill>
                  <pic:spPr bwMode="auto">
                    <a:xfrm>
                      <a:off x="0" y="0"/>
                      <a:ext cx="2609850" cy="2537460"/>
                    </a:xfrm>
                    <a:prstGeom prst="rect">
                      <a:avLst/>
                    </a:prstGeom>
                    <a:noFill/>
                    <a:ln>
                      <a:noFill/>
                    </a:ln>
                    <a:extLst>
                      <a:ext uri="{53640926-AAD7-44D8-BBD7-CCE9431645EC}">
                        <a14:shadowObscured xmlns:a14="http://schemas.microsoft.com/office/drawing/2010/main"/>
                      </a:ext>
                    </a:extLst>
                  </pic:spPr>
                </pic:pic>
              </a:graphicData>
            </a:graphic>
          </wp:inline>
        </w:drawing>
      </w:r>
      <w:r w:rsidRPr="00823561">
        <w:rPr>
          <w:noProof/>
        </w:rPr>
        <w:drawing>
          <wp:inline distT="0" distB="0" distL="0" distR="0" wp14:anchorId="7D600637" wp14:editId="053DBDEC">
            <wp:extent cx="1828800" cy="244756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r="41409"/>
                    <a:stretch/>
                  </pic:blipFill>
                  <pic:spPr bwMode="auto">
                    <a:xfrm>
                      <a:off x="0" y="0"/>
                      <a:ext cx="1828800" cy="2447567"/>
                    </a:xfrm>
                    <a:prstGeom prst="rect">
                      <a:avLst/>
                    </a:prstGeom>
                    <a:noFill/>
                    <a:ln>
                      <a:noFill/>
                    </a:ln>
                    <a:extLst>
                      <a:ext uri="{53640926-AAD7-44D8-BBD7-CCE9431645EC}">
                        <a14:shadowObscured xmlns:a14="http://schemas.microsoft.com/office/drawing/2010/main"/>
                      </a:ext>
                    </a:extLst>
                  </pic:spPr>
                </pic:pic>
              </a:graphicData>
            </a:graphic>
          </wp:inline>
        </w:drawing>
      </w:r>
      <w:r w:rsidRPr="00823561">
        <w:rPr>
          <w:noProof/>
        </w:rPr>
        <w:drawing>
          <wp:inline distT="0" distB="0" distL="0" distR="0" wp14:anchorId="67DB54E1" wp14:editId="0977A9F5">
            <wp:extent cx="2606040" cy="2537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r="41538"/>
                    <a:stretch/>
                  </pic:blipFill>
                  <pic:spPr bwMode="auto">
                    <a:xfrm>
                      <a:off x="0" y="0"/>
                      <a:ext cx="2606040" cy="2537460"/>
                    </a:xfrm>
                    <a:prstGeom prst="rect">
                      <a:avLst/>
                    </a:prstGeom>
                    <a:noFill/>
                    <a:ln>
                      <a:noFill/>
                    </a:ln>
                    <a:extLst>
                      <a:ext uri="{53640926-AAD7-44D8-BBD7-CCE9431645EC}">
                        <a14:shadowObscured xmlns:a14="http://schemas.microsoft.com/office/drawing/2010/main"/>
                      </a:ext>
                    </a:extLst>
                  </pic:spPr>
                </pic:pic>
              </a:graphicData>
            </a:graphic>
          </wp:inline>
        </w:drawing>
      </w:r>
      <w:r w:rsidRPr="00823561">
        <w:rPr>
          <w:noProof/>
        </w:rPr>
        <w:drawing>
          <wp:inline distT="0" distB="0" distL="0" distR="0" wp14:anchorId="645420F7" wp14:editId="35E3D99E">
            <wp:extent cx="1828800" cy="2437482"/>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r="41187"/>
                    <a:stretch/>
                  </pic:blipFill>
                  <pic:spPr bwMode="auto">
                    <a:xfrm>
                      <a:off x="0" y="0"/>
                      <a:ext cx="1828800" cy="2437482"/>
                    </a:xfrm>
                    <a:prstGeom prst="rect">
                      <a:avLst/>
                    </a:prstGeom>
                    <a:noFill/>
                    <a:ln>
                      <a:noFill/>
                    </a:ln>
                    <a:extLst>
                      <a:ext uri="{53640926-AAD7-44D8-BBD7-CCE9431645EC}">
                        <a14:shadowObscured xmlns:a14="http://schemas.microsoft.com/office/drawing/2010/main"/>
                      </a:ext>
                    </a:extLst>
                  </pic:spPr>
                </pic:pic>
              </a:graphicData>
            </a:graphic>
          </wp:inline>
        </w:drawing>
      </w:r>
    </w:p>
    <w:p w14:paraId="0F48E17F" w14:textId="012063E2" w:rsidR="00823561" w:rsidRDefault="00823561" w:rsidP="00823561">
      <w:pPr>
        <w:pStyle w:val="Caption"/>
      </w:pPr>
      <w:bookmarkStart w:id="14" w:name="_Ref45722885"/>
      <w:r>
        <w:t xml:space="preserve">Figure </w:t>
      </w:r>
      <w:r>
        <w:fldChar w:fldCharType="begin"/>
      </w:r>
      <w:r>
        <w:instrText xml:space="preserve"> SEQ Figure \* ARABIC </w:instrText>
      </w:r>
      <w:r>
        <w:fldChar w:fldCharType="separate"/>
      </w:r>
      <w:r>
        <w:rPr>
          <w:noProof/>
        </w:rPr>
        <w:t>2</w:t>
      </w:r>
      <w:r>
        <w:fldChar w:fldCharType="end"/>
      </w:r>
      <w:bookmarkEnd w:id="14"/>
      <w:r>
        <w:t>: Un-Intended Reference Antenna Orientations for QoQZ Validation Testing with respect to Combined-Axes Positioner (</w:t>
      </w:r>
      <w:proofErr w:type="gramStart"/>
      <w:r>
        <w:t>left:</w:t>
      </w:r>
      <w:proofErr w:type="gramEnd"/>
      <w:r>
        <w:t xml:space="preserve"> top view; right: side view). On top: </w:t>
      </w:r>
      <w:r w:rsidRPr="00DE75BD">
        <w:rPr>
          <w:rFonts w:ascii="Symbol" w:hAnsi="Symbol"/>
        </w:rPr>
        <w:t></w:t>
      </w:r>
      <w:r>
        <w:t xml:space="preserve"> =135</w:t>
      </w:r>
      <w:r w:rsidRPr="00DE75BD">
        <w:rPr>
          <w:vertAlign w:val="superscript"/>
        </w:rPr>
        <w:t>o</w:t>
      </w:r>
      <w:r w:rsidRPr="00DE75BD">
        <w:t xml:space="preserve"> </w:t>
      </w:r>
      <w:r>
        <w:t xml:space="preserve">(In-band/OOB QoQZ), centre: </w:t>
      </w:r>
      <w:r w:rsidRPr="00DE75BD">
        <w:rPr>
          <w:rFonts w:ascii="Symbol" w:hAnsi="Symbol"/>
        </w:rPr>
        <w:t></w:t>
      </w:r>
      <w:r>
        <w:t xml:space="preserve"> =180</w:t>
      </w:r>
      <w:r w:rsidRPr="00DE75BD">
        <w:rPr>
          <w:vertAlign w:val="superscript"/>
        </w:rPr>
        <w:t>o</w:t>
      </w:r>
      <w:r w:rsidRPr="00DE75BD">
        <w:t xml:space="preserve"> </w:t>
      </w:r>
      <w:r>
        <w:t>(spurious QoQZ),</w:t>
      </w:r>
      <w:r w:rsidRPr="00063392">
        <w:rPr>
          <w:rFonts w:ascii="Symbol" w:hAnsi="Symbol"/>
        </w:rPr>
        <w:t></w:t>
      </w:r>
      <w:r>
        <w:t xml:space="preserve">bottom: </w:t>
      </w:r>
      <w:r w:rsidRPr="00DE75BD">
        <w:rPr>
          <w:rFonts w:ascii="Symbol" w:hAnsi="Symbol"/>
        </w:rPr>
        <w:t></w:t>
      </w:r>
      <w:r>
        <w:t xml:space="preserve"> =225</w:t>
      </w:r>
      <w:r w:rsidRPr="00DE75BD">
        <w:rPr>
          <w:vertAlign w:val="superscript"/>
        </w:rPr>
        <w:t>o</w:t>
      </w:r>
      <w:r w:rsidRPr="00DE75BD">
        <w:t xml:space="preserve"> </w:t>
      </w:r>
      <w:r>
        <w:t>(In-band/OOB QoQZ).</w:t>
      </w:r>
    </w:p>
    <w:p w14:paraId="78EC0A99" w14:textId="77777777" w:rsidR="00063392" w:rsidRDefault="00063392" w:rsidP="00063392">
      <w:pPr>
        <w:pStyle w:val="Caption"/>
      </w:pPr>
    </w:p>
    <w:p w14:paraId="35952390" w14:textId="77777777" w:rsidR="008B0529" w:rsidRDefault="0053435C" w:rsidP="0053435C">
      <w:pPr>
        <w:pStyle w:val="Heading1"/>
        <w:ind w:left="567" w:hanging="567"/>
      </w:pPr>
      <w:r>
        <w:lastRenderedPageBreak/>
        <w:t>Conclusion</w:t>
      </w:r>
    </w:p>
    <w:p w14:paraId="35952391" w14:textId="40046EAE" w:rsidR="008B0529" w:rsidRDefault="0053435C" w:rsidP="008B0529">
      <w:r>
        <w:t>The following observations and proposals were made in this contribution</w:t>
      </w:r>
    </w:p>
    <w:bookmarkStart w:id="15" w:name="_GoBack"/>
    <w:p w14:paraId="2B90D364" w14:textId="754248B2" w:rsidR="00C85CD3" w:rsidRPr="008E2763" w:rsidRDefault="008E2763" w:rsidP="008B0529">
      <w:pPr>
        <w:rPr>
          <w:b/>
          <w:bCs/>
        </w:rPr>
      </w:pPr>
      <w:r w:rsidRPr="008E2763">
        <w:rPr>
          <w:b/>
          <w:bCs/>
        </w:rPr>
        <w:fldChar w:fldCharType="begin"/>
      </w:r>
      <w:r w:rsidRPr="008E2763">
        <w:rPr>
          <w:b/>
          <w:bCs/>
        </w:rPr>
        <w:instrText xml:space="preserve"> REF _Ref47694399 \h </w:instrText>
      </w:r>
      <w:r w:rsidRPr="008E2763">
        <w:rPr>
          <w:b/>
          <w:bCs/>
        </w:rPr>
      </w:r>
      <w:r>
        <w:rPr>
          <w:b/>
          <w:bCs/>
        </w:rPr>
        <w:instrText xml:space="preserve"> \* MERGEFORMAT </w:instrText>
      </w:r>
      <w:r w:rsidRPr="008E2763">
        <w:rPr>
          <w:b/>
          <w:bCs/>
        </w:rPr>
        <w:fldChar w:fldCharType="separate"/>
      </w:r>
      <w:r w:rsidRPr="008E2763">
        <w:rPr>
          <w:b/>
          <w:bCs/>
        </w:rPr>
        <w:t xml:space="preserve">Observation </w:t>
      </w:r>
      <w:r w:rsidRPr="008E2763">
        <w:rPr>
          <w:b/>
          <w:bCs/>
          <w:noProof/>
        </w:rPr>
        <w:t>1</w:t>
      </w:r>
      <w:r w:rsidRPr="008E2763">
        <w:rPr>
          <w:b/>
          <w:bCs/>
        </w:rPr>
        <w:t>: The re-positioning concept was introduced to introduce lower QoQZ MU for test systems by making sure that the path between DUT and measurement probe is not obstructed by the pedestal of the positioner. This approach allows the reference antenna orientations to be limited to a single hemisphere only.</w:t>
      </w:r>
      <w:r w:rsidRPr="008E2763">
        <w:rPr>
          <w:b/>
          <w:bCs/>
        </w:rPr>
        <w:fldChar w:fldCharType="end"/>
      </w:r>
    </w:p>
    <w:p w14:paraId="1ECA1946" w14:textId="0AEBCF40" w:rsidR="008E2763" w:rsidRPr="008E2763" w:rsidRDefault="008E2763" w:rsidP="008B0529">
      <w:pPr>
        <w:rPr>
          <w:b/>
          <w:bCs/>
        </w:rPr>
      </w:pPr>
      <w:r w:rsidRPr="008E2763">
        <w:rPr>
          <w:b/>
          <w:bCs/>
        </w:rPr>
        <w:fldChar w:fldCharType="begin"/>
      </w:r>
      <w:r w:rsidRPr="008E2763">
        <w:rPr>
          <w:b/>
          <w:bCs/>
        </w:rPr>
        <w:instrText xml:space="preserve"> REF _Ref45724074 \h </w:instrText>
      </w:r>
      <w:r w:rsidRPr="008E2763">
        <w:rPr>
          <w:b/>
          <w:bCs/>
        </w:rPr>
      </w:r>
      <w:r>
        <w:rPr>
          <w:b/>
          <w:bCs/>
        </w:rPr>
        <w:instrText xml:space="preserve"> \* MERGEFORMAT </w:instrText>
      </w:r>
      <w:r w:rsidRPr="008E2763">
        <w:rPr>
          <w:b/>
          <w:bCs/>
        </w:rPr>
        <w:fldChar w:fldCharType="separate"/>
      </w:r>
      <w:r w:rsidRPr="008E2763">
        <w:rPr>
          <w:b/>
          <w:bCs/>
        </w:rPr>
        <w:t xml:space="preserve">Observation </w:t>
      </w:r>
      <w:r w:rsidRPr="008E2763">
        <w:rPr>
          <w:b/>
          <w:bCs/>
          <w:noProof/>
        </w:rPr>
        <w:t>2</w:t>
      </w:r>
      <w:r w:rsidRPr="008E2763">
        <w:rPr>
          <w:b/>
          <w:bCs/>
        </w:rPr>
        <w:t>: When the re-positioning concept is not applied to FR2 test cases, the intent of the QoQZ validation was to include reference antenna orientations in the measurements that made the reference antenna point towards the pedestal (in-band/OOB) or at the pedestal (spurious emissions).</w:t>
      </w:r>
      <w:r w:rsidRPr="008E2763">
        <w:rPr>
          <w:b/>
          <w:bCs/>
        </w:rPr>
        <w:fldChar w:fldCharType="end"/>
      </w:r>
    </w:p>
    <w:p w14:paraId="34DA6C87" w14:textId="137A8406" w:rsidR="008E2763" w:rsidRPr="008E2763" w:rsidRDefault="008E2763" w:rsidP="008B0529">
      <w:pPr>
        <w:rPr>
          <w:b/>
          <w:bCs/>
        </w:rPr>
      </w:pPr>
      <w:r w:rsidRPr="008E2763">
        <w:rPr>
          <w:b/>
          <w:bCs/>
        </w:rPr>
        <w:fldChar w:fldCharType="begin"/>
      </w:r>
      <w:r w:rsidRPr="008E2763">
        <w:rPr>
          <w:b/>
          <w:bCs/>
        </w:rPr>
        <w:instrText xml:space="preserve"> REF _Ref45724075 \h </w:instrText>
      </w:r>
      <w:r w:rsidRPr="008E2763">
        <w:rPr>
          <w:b/>
          <w:bCs/>
        </w:rPr>
      </w:r>
      <w:r>
        <w:rPr>
          <w:b/>
          <w:bCs/>
        </w:rPr>
        <w:instrText xml:space="preserve"> \* MERGEFORMAT </w:instrText>
      </w:r>
      <w:r w:rsidRPr="008E2763">
        <w:rPr>
          <w:b/>
          <w:bCs/>
        </w:rPr>
        <w:fldChar w:fldCharType="separate"/>
      </w:r>
      <w:r w:rsidRPr="008E2763">
        <w:rPr>
          <w:b/>
          <w:bCs/>
        </w:rPr>
        <w:t xml:space="preserve">Proposal </w:t>
      </w:r>
      <w:r w:rsidRPr="008E2763">
        <w:rPr>
          <w:b/>
          <w:bCs/>
          <w:noProof/>
        </w:rPr>
        <w:t>1</w:t>
      </w:r>
      <w:r w:rsidRPr="008E2763">
        <w:rPr>
          <w:b/>
          <w:bCs/>
        </w:rPr>
        <w:t>: Clarify in the QoQZ validation procedures that the positioner coordinates/orientations with respect to the reference probe (P0 for RRM, reflector for CATR) shall remain the same for each reference antenna orientation.</w:t>
      </w:r>
      <w:r w:rsidRPr="008E2763">
        <w:rPr>
          <w:b/>
          <w:bCs/>
        </w:rPr>
        <w:fldChar w:fldCharType="end"/>
      </w:r>
    </w:p>
    <w:bookmarkEnd w:id="15"/>
    <w:p w14:paraId="64C50449" w14:textId="77777777" w:rsidR="008E2763" w:rsidRDefault="008E2763" w:rsidP="008B0529"/>
    <w:p w14:paraId="35952392" w14:textId="77777777" w:rsidR="00DD1C07" w:rsidRDefault="00DD1C07" w:rsidP="00DD1C07">
      <w:pPr>
        <w:pStyle w:val="Heading1"/>
        <w:ind w:left="567" w:hanging="567"/>
      </w:pPr>
      <w:r>
        <w:t>References</w:t>
      </w:r>
    </w:p>
    <w:p w14:paraId="62243675" w14:textId="77777777" w:rsidR="0050567A" w:rsidRPr="0050567A" w:rsidRDefault="0050567A" w:rsidP="0050567A">
      <w:pPr>
        <w:pStyle w:val="ListParagraph"/>
        <w:numPr>
          <w:ilvl w:val="0"/>
          <w:numId w:val="5"/>
        </w:numPr>
        <w:rPr>
          <w:rFonts w:ascii="Times New Roman" w:eastAsia="Malgun Gothic" w:hAnsi="Times New Roman"/>
          <w:sz w:val="20"/>
          <w:szCs w:val="20"/>
          <w:lang w:val="en-GB"/>
        </w:rPr>
      </w:pPr>
      <w:bookmarkStart w:id="16" w:name="_Ref45706404"/>
      <w:r w:rsidRPr="0050567A">
        <w:rPr>
          <w:rFonts w:ascii="Times New Roman" w:eastAsia="Malgun Gothic" w:hAnsi="Times New Roman"/>
          <w:sz w:val="20"/>
          <w:szCs w:val="20"/>
          <w:lang w:val="en-GB"/>
        </w:rPr>
        <w:t>TR38.810, Study on test methods, V16.5.0 (2019-12)</w:t>
      </w:r>
      <w:bookmarkEnd w:id="16"/>
    </w:p>
    <w:p w14:paraId="66DE8FBE" w14:textId="77777777" w:rsidR="0050567A" w:rsidRPr="0050567A" w:rsidRDefault="0050567A" w:rsidP="0050567A">
      <w:pPr>
        <w:pStyle w:val="ListParagraph"/>
        <w:numPr>
          <w:ilvl w:val="0"/>
          <w:numId w:val="5"/>
        </w:numPr>
        <w:rPr>
          <w:rFonts w:ascii="Times New Roman" w:eastAsia="Malgun Gothic" w:hAnsi="Times New Roman"/>
          <w:sz w:val="20"/>
          <w:szCs w:val="20"/>
          <w:lang w:val="en-GB"/>
        </w:rPr>
      </w:pPr>
      <w:bookmarkStart w:id="17" w:name="_Ref45706417"/>
      <w:r w:rsidRPr="0050567A">
        <w:rPr>
          <w:rFonts w:ascii="Times New Roman" w:eastAsia="Malgun Gothic" w:hAnsi="Times New Roman"/>
          <w:sz w:val="20"/>
          <w:szCs w:val="20"/>
          <w:lang w:val="en-GB"/>
        </w:rPr>
        <w:t>TS 38.521-2, User Equipment (UE) conformance specification; Radio transmission and reception; Part 2: Range 2 Standalone, V16.30 (2020-03)</w:t>
      </w:r>
      <w:bookmarkEnd w:id="17"/>
    </w:p>
    <w:p w14:paraId="35952393" w14:textId="353CEC86" w:rsidR="000547AB" w:rsidRDefault="00E77EF1" w:rsidP="0050567A">
      <w:pPr>
        <w:pStyle w:val="ListParagraph"/>
        <w:numPr>
          <w:ilvl w:val="0"/>
          <w:numId w:val="5"/>
        </w:numPr>
        <w:rPr>
          <w:rFonts w:ascii="Times New Roman" w:eastAsia="Malgun Gothic" w:hAnsi="Times New Roman"/>
          <w:sz w:val="20"/>
          <w:szCs w:val="20"/>
          <w:lang w:val="en-GB"/>
        </w:rPr>
      </w:pPr>
      <w:bookmarkStart w:id="18" w:name="_Ref45722144"/>
      <w:r w:rsidRPr="00E77EF1">
        <w:rPr>
          <w:rFonts w:ascii="Times New Roman" w:eastAsia="Malgun Gothic" w:hAnsi="Times New Roman"/>
          <w:sz w:val="20"/>
          <w:szCs w:val="20"/>
          <w:lang w:val="en-GB"/>
        </w:rPr>
        <w:t>R5-190942</w:t>
      </w:r>
      <w:r>
        <w:rPr>
          <w:rFonts w:ascii="Times New Roman" w:eastAsia="Malgun Gothic" w:hAnsi="Times New Roman"/>
          <w:sz w:val="20"/>
          <w:szCs w:val="20"/>
          <w:lang w:val="en-GB"/>
        </w:rPr>
        <w:t xml:space="preserve">, </w:t>
      </w:r>
      <w:r w:rsidRPr="00E77EF1">
        <w:rPr>
          <w:rFonts w:ascii="Times New Roman" w:eastAsia="Malgun Gothic" w:hAnsi="Times New Roman"/>
          <w:sz w:val="20"/>
          <w:szCs w:val="20"/>
          <w:lang w:val="en-GB"/>
        </w:rPr>
        <w:t>Way Forward on QoQZ Procedure for Spurious Emissions</w:t>
      </w:r>
      <w:r>
        <w:rPr>
          <w:rFonts w:ascii="Times New Roman" w:eastAsia="Malgun Gothic" w:hAnsi="Times New Roman"/>
          <w:sz w:val="20"/>
          <w:szCs w:val="20"/>
          <w:lang w:val="en-GB"/>
        </w:rPr>
        <w:t xml:space="preserve">, </w:t>
      </w:r>
      <w:r w:rsidRPr="00E77EF1">
        <w:rPr>
          <w:rFonts w:ascii="Times New Roman" w:eastAsia="Malgun Gothic" w:hAnsi="Times New Roman"/>
          <w:sz w:val="20"/>
          <w:szCs w:val="20"/>
          <w:lang w:val="en-GB"/>
        </w:rPr>
        <w:t>Keysight Technologies, Rohde&amp;Schwarz, Anritsu</w:t>
      </w:r>
      <w:r>
        <w:rPr>
          <w:rFonts w:ascii="Times New Roman" w:eastAsia="Malgun Gothic" w:hAnsi="Times New Roman"/>
          <w:sz w:val="20"/>
          <w:szCs w:val="20"/>
          <w:lang w:val="en-GB"/>
        </w:rPr>
        <w:t xml:space="preserve">, </w:t>
      </w:r>
      <w:r w:rsidRPr="00E77EF1">
        <w:rPr>
          <w:rFonts w:ascii="Times New Roman" w:eastAsia="Malgun Gothic" w:hAnsi="Times New Roman"/>
          <w:sz w:val="20"/>
          <w:szCs w:val="20"/>
          <w:lang w:val="en-GB"/>
        </w:rPr>
        <w:t>3GPP TSG-RAN WG5 5G NR AH #4</w:t>
      </w:r>
      <w:r>
        <w:rPr>
          <w:rFonts w:ascii="Times New Roman" w:eastAsia="Malgun Gothic" w:hAnsi="Times New Roman"/>
          <w:sz w:val="20"/>
          <w:szCs w:val="20"/>
          <w:lang w:val="en-GB"/>
        </w:rPr>
        <w:t>, January 2019</w:t>
      </w:r>
      <w:bookmarkEnd w:id="18"/>
    </w:p>
    <w:p w14:paraId="7D4A97EF" w14:textId="7F656868" w:rsidR="006F297C" w:rsidRPr="006F297C" w:rsidRDefault="00E93B46" w:rsidP="006F297C">
      <w:pPr>
        <w:pStyle w:val="ListParagraph"/>
        <w:numPr>
          <w:ilvl w:val="0"/>
          <w:numId w:val="5"/>
        </w:numPr>
        <w:rPr>
          <w:rFonts w:ascii="Times New Roman" w:eastAsia="Malgun Gothic" w:hAnsi="Times New Roman"/>
          <w:sz w:val="20"/>
          <w:szCs w:val="20"/>
          <w:lang w:val="en-GB"/>
        </w:rPr>
      </w:pPr>
      <w:bookmarkStart w:id="19" w:name="_Ref47446305"/>
      <w:r w:rsidRPr="00E93B46">
        <w:rPr>
          <w:rFonts w:ascii="Times New Roman" w:eastAsia="Malgun Gothic" w:hAnsi="Times New Roman"/>
          <w:sz w:val="20"/>
          <w:szCs w:val="20"/>
          <w:lang w:val="en-GB"/>
        </w:rPr>
        <w:t>R5-204193</w:t>
      </w:r>
      <w:r w:rsidR="006F297C">
        <w:rPr>
          <w:rFonts w:ascii="Times New Roman" w:eastAsia="Malgun Gothic" w:hAnsi="Times New Roman"/>
          <w:sz w:val="20"/>
          <w:szCs w:val="20"/>
          <w:lang w:val="en-GB"/>
        </w:rPr>
        <w:t xml:space="preserve">, </w:t>
      </w:r>
      <w:r w:rsidR="006F297C" w:rsidRPr="006F297C">
        <w:rPr>
          <w:rFonts w:ascii="Times New Roman" w:eastAsia="Malgun Gothic" w:hAnsi="Times New Roman"/>
          <w:sz w:val="20"/>
          <w:szCs w:val="20"/>
          <w:lang w:val="en-GB"/>
        </w:rPr>
        <w:t>CR to 38.521-2 on QoQZ Verification Clarification</w:t>
      </w:r>
      <w:r w:rsidR="006F297C">
        <w:rPr>
          <w:rFonts w:ascii="Times New Roman" w:eastAsia="Malgun Gothic" w:hAnsi="Times New Roman"/>
          <w:sz w:val="20"/>
          <w:szCs w:val="20"/>
          <w:lang w:val="en-GB"/>
        </w:rPr>
        <w:t xml:space="preserve">, </w:t>
      </w:r>
      <w:r w:rsidR="006F297C" w:rsidRPr="00E77EF1">
        <w:rPr>
          <w:rFonts w:ascii="Times New Roman" w:eastAsia="Malgun Gothic" w:hAnsi="Times New Roman"/>
          <w:sz w:val="20"/>
          <w:szCs w:val="20"/>
          <w:lang w:val="en-GB"/>
        </w:rPr>
        <w:t xml:space="preserve">Keysight Technologies, </w:t>
      </w:r>
      <w:r w:rsidR="006F297C" w:rsidRPr="006F297C">
        <w:rPr>
          <w:rFonts w:ascii="Times New Roman" w:eastAsia="Malgun Gothic" w:hAnsi="Times New Roman"/>
          <w:sz w:val="20"/>
          <w:szCs w:val="20"/>
          <w:lang w:val="en-GB"/>
        </w:rPr>
        <w:t>CR to 38.521-2 on QoQZ Verification Clarification</w:t>
      </w:r>
      <w:r w:rsidR="006F297C">
        <w:rPr>
          <w:rFonts w:ascii="Times New Roman" w:eastAsia="Malgun Gothic" w:hAnsi="Times New Roman"/>
          <w:sz w:val="20"/>
          <w:szCs w:val="20"/>
          <w:lang w:val="en-GB"/>
        </w:rPr>
        <w:t xml:space="preserve">, </w:t>
      </w:r>
      <w:r w:rsidRPr="00E93B46">
        <w:rPr>
          <w:rFonts w:ascii="Times New Roman" w:eastAsia="Malgun Gothic" w:hAnsi="Times New Roman"/>
          <w:sz w:val="20"/>
          <w:szCs w:val="20"/>
          <w:lang w:val="en-GB"/>
        </w:rPr>
        <w:t>3GPP TSG-RAN5 Meeting #88-e</w:t>
      </w:r>
      <w:r>
        <w:rPr>
          <w:rFonts w:ascii="Times New Roman" w:eastAsia="Malgun Gothic" w:hAnsi="Times New Roman"/>
          <w:sz w:val="20"/>
          <w:szCs w:val="20"/>
          <w:lang w:val="en-GB"/>
        </w:rPr>
        <w:t xml:space="preserve">, </w:t>
      </w:r>
      <w:r w:rsidR="006F297C">
        <w:rPr>
          <w:rFonts w:ascii="Times New Roman" w:eastAsia="Malgun Gothic" w:hAnsi="Times New Roman"/>
          <w:sz w:val="20"/>
          <w:szCs w:val="20"/>
          <w:lang w:val="en-GB"/>
        </w:rPr>
        <w:t>August 2020</w:t>
      </w:r>
      <w:bookmarkEnd w:id="19"/>
    </w:p>
    <w:sectPr w:rsidR="006F297C" w:rsidRPr="006F297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AA435B" w:rsidRDefault="00AA435B">
      <w:r>
        <w:separator/>
      </w:r>
    </w:p>
  </w:endnote>
  <w:endnote w:type="continuationSeparator" w:id="0">
    <w:p w14:paraId="2B745E73" w14:textId="77777777" w:rsidR="00AA435B" w:rsidRDefault="00AA435B">
      <w:r>
        <w:continuationSeparator/>
      </w:r>
    </w:p>
  </w:endnote>
  <w:endnote w:type="continuationNotice" w:id="1">
    <w:p w14:paraId="10E66845" w14:textId="77777777" w:rsidR="00AA435B" w:rsidRDefault="00AA4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AA435B" w:rsidRDefault="00AA435B">
      <w:r>
        <w:separator/>
      </w:r>
    </w:p>
  </w:footnote>
  <w:footnote w:type="continuationSeparator" w:id="0">
    <w:p w14:paraId="3D6D4D42" w14:textId="77777777" w:rsidR="00AA435B" w:rsidRDefault="00AA435B">
      <w:r>
        <w:continuationSeparator/>
      </w:r>
    </w:p>
  </w:footnote>
  <w:footnote w:type="continuationNotice" w:id="1">
    <w:p w14:paraId="3391714E" w14:textId="77777777" w:rsidR="00AA435B" w:rsidRDefault="00AA4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3392"/>
    <w:rsid w:val="000640B9"/>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7F0"/>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25B1"/>
    <w:rsid w:val="00353724"/>
    <w:rsid w:val="00353E42"/>
    <w:rsid w:val="00353FAE"/>
    <w:rsid w:val="00364DC7"/>
    <w:rsid w:val="00365EF7"/>
    <w:rsid w:val="00366F9B"/>
    <w:rsid w:val="00367724"/>
    <w:rsid w:val="003679B5"/>
    <w:rsid w:val="00370487"/>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B543A"/>
    <w:rsid w:val="004C2A16"/>
    <w:rsid w:val="004D0FD5"/>
    <w:rsid w:val="004D5AE5"/>
    <w:rsid w:val="004E2B50"/>
    <w:rsid w:val="004F08C5"/>
    <w:rsid w:val="004F374D"/>
    <w:rsid w:val="004F3D34"/>
    <w:rsid w:val="004F3E0E"/>
    <w:rsid w:val="004F3EB5"/>
    <w:rsid w:val="004F554E"/>
    <w:rsid w:val="004F7A3D"/>
    <w:rsid w:val="004F7C82"/>
    <w:rsid w:val="00501CEE"/>
    <w:rsid w:val="0050567A"/>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1687"/>
    <w:rsid w:val="006126CA"/>
    <w:rsid w:val="006131BB"/>
    <w:rsid w:val="00613B1E"/>
    <w:rsid w:val="00616FB0"/>
    <w:rsid w:val="006210C4"/>
    <w:rsid w:val="00622B32"/>
    <w:rsid w:val="00634928"/>
    <w:rsid w:val="00635671"/>
    <w:rsid w:val="00636ABD"/>
    <w:rsid w:val="00640712"/>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30EA"/>
    <w:rsid w:val="006A5A2A"/>
    <w:rsid w:val="006A5ED0"/>
    <w:rsid w:val="006B03F1"/>
    <w:rsid w:val="006B0D02"/>
    <w:rsid w:val="006B1C2F"/>
    <w:rsid w:val="006B363D"/>
    <w:rsid w:val="006B39EF"/>
    <w:rsid w:val="006C3A94"/>
    <w:rsid w:val="006D132D"/>
    <w:rsid w:val="006D6B1F"/>
    <w:rsid w:val="006E45D9"/>
    <w:rsid w:val="006F0D5F"/>
    <w:rsid w:val="006F1DCF"/>
    <w:rsid w:val="006F297C"/>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3561"/>
    <w:rsid w:val="00826B31"/>
    <w:rsid w:val="008278A2"/>
    <w:rsid w:val="00830BED"/>
    <w:rsid w:val="00836C44"/>
    <w:rsid w:val="00836F3D"/>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2763"/>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89E"/>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8738B"/>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5CD3"/>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2524"/>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E75BD"/>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77EF1"/>
    <w:rsid w:val="00E8629F"/>
    <w:rsid w:val="00E90B54"/>
    <w:rsid w:val="00E93B46"/>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EF7E7B"/>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55993"/>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19F5"/>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bdd78157-346c-4767-bfdd-352789a5c5f1"/>
    <ds:schemaRef ds:uri="878f5c59-aec9-459c-acf8-8cf941473193"/>
    <ds:schemaRef ds:uri="http://purl.org/dc/dcmitype/"/>
    <ds:schemaRef ds:uri="http://purl.org/dc/terms/"/>
  </ds:schemaRefs>
</ds:datastoreItem>
</file>

<file path=customXml/itemProps4.xml><?xml version="1.0" encoding="utf-8"?>
<ds:datastoreItem xmlns:ds="http://schemas.openxmlformats.org/officeDocument/2006/customXml" ds:itemID="{518D1958-F210-4792-86AD-680054D4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6</Pages>
  <Words>1203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24</cp:revision>
  <dcterms:created xsi:type="dcterms:W3CDTF">2019-06-30T20:45:00Z</dcterms:created>
  <dcterms:modified xsi:type="dcterms:W3CDTF">2020-08-07T19:06:00Z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